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166BD" w14:textId="77777777" w:rsidR="00070660" w:rsidRPr="009230C1" w:rsidRDefault="009B072E" w:rsidP="009230C1">
      <w:pPr>
        <w:pStyle w:val="Heading1"/>
        <w:rPr>
          <w:lang w:val="fr-CA"/>
        </w:rPr>
      </w:pPr>
      <w:r w:rsidRPr="009230C1">
        <w:rPr>
          <w:i/>
          <w:lang w:val="fr-CA"/>
        </w:rPr>
        <w:t>Accès au succès</w:t>
      </w:r>
      <w:r w:rsidR="003048CA" w:rsidRPr="009230C1">
        <w:rPr>
          <w:lang w:val="fr-CA"/>
        </w:rPr>
        <w:t>, page 255 du chapitre 11</w:t>
      </w:r>
    </w:p>
    <w:p w14:paraId="57EF5BD7" w14:textId="77777777" w:rsidR="00070660" w:rsidRPr="009230C1" w:rsidRDefault="00214A7F" w:rsidP="009230C1">
      <w:pPr>
        <w:pStyle w:val="Heading2"/>
        <w:rPr>
          <w:lang w:val="fr-CA"/>
        </w:rPr>
      </w:pPr>
      <w:r w:rsidRPr="009230C1">
        <w:rPr>
          <w:lang w:val="fr-CA"/>
        </w:rPr>
        <w:t>Analyser ensemble l’ITB-E et le PA</w:t>
      </w:r>
      <w:r w:rsidR="003048CA" w:rsidRPr="009230C1">
        <w:rPr>
          <w:lang w:val="fr-CA"/>
        </w:rPr>
        <w:t>É</w:t>
      </w:r>
    </w:p>
    <w:p w14:paraId="14A338A0" w14:textId="021005AC" w:rsidR="009B5533" w:rsidRPr="009230C1" w:rsidRDefault="008F6F37" w:rsidP="009230C1">
      <w:pPr>
        <w:pStyle w:val="ListParagraph"/>
        <w:numPr>
          <w:ilvl w:val="0"/>
          <w:numId w:val="9"/>
        </w:numPr>
        <w:spacing w:after="240"/>
        <w:rPr>
          <w:lang w:val="fr-CA"/>
        </w:rPr>
      </w:pPr>
      <w:r w:rsidRPr="009230C1">
        <w:rPr>
          <w:lang w:val="fr-CA"/>
        </w:rPr>
        <w:t xml:space="preserve">Commencez par examiner les forces et les </w:t>
      </w:r>
      <w:r w:rsidR="00D27330">
        <w:rPr>
          <w:lang w:val="fr-CA"/>
        </w:rPr>
        <w:t>caractéris</w:t>
      </w:r>
      <w:r w:rsidR="00CA1731">
        <w:rPr>
          <w:lang w:val="fr-CA"/>
        </w:rPr>
        <w:t>ti</w:t>
      </w:r>
      <w:r w:rsidR="00D27330">
        <w:rPr>
          <w:lang w:val="fr-CA"/>
        </w:rPr>
        <w:t>ques positives</w:t>
      </w:r>
      <w:r w:rsidRPr="009230C1">
        <w:rPr>
          <w:lang w:val="fr-CA"/>
        </w:rPr>
        <w:t xml:space="preserve"> de l’élève comme elles ont été identifiées dans le PAÉ. </w:t>
      </w:r>
      <w:r w:rsidR="00D27330">
        <w:rPr>
          <w:lang w:val="fr-CA"/>
        </w:rPr>
        <w:t>Ensuite</w:t>
      </w:r>
      <w:r w:rsidRPr="009230C1">
        <w:rPr>
          <w:lang w:val="fr-CA"/>
        </w:rPr>
        <w:t>, déterminez quelles techniques d’enseignement d</w:t>
      </w:r>
      <w:r w:rsidR="00D27330">
        <w:rPr>
          <w:lang w:val="fr-CA"/>
        </w:rPr>
        <w:t>e</w:t>
      </w:r>
      <w:r w:rsidRPr="009230C1">
        <w:rPr>
          <w:lang w:val="fr-CA"/>
        </w:rPr>
        <w:t xml:space="preserve"> l’ITB-E maximisent ces forces. </w:t>
      </w:r>
      <w:r w:rsidR="00D27330">
        <w:rPr>
          <w:lang w:val="fr-CA"/>
        </w:rPr>
        <w:t>C</w:t>
      </w:r>
      <w:r w:rsidRPr="009230C1">
        <w:rPr>
          <w:lang w:val="fr-CA"/>
        </w:rPr>
        <w:t>es techniques sont</w:t>
      </w:r>
      <w:r w:rsidR="00D27330">
        <w:rPr>
          <w:lang w:val="fr-CA"/>
        </w:rPr>
        <w:t>-elles</w:t>
      </w:r>
      <w:r w:rsidRPr="009230C1">
        <w:rPr>
          <w:lang w:val="fr-CA"/>
        </w:rPr>
        <w:t xml:space="preserve"> utilisées autant que possible? Comment le fait d’aider l’élève à </w:t>
      </w:r>
      <w:r w:rsidR="003048CA" w:rsidRPr="009230C1">
        <w:rPr>
          <w:lang w:val="fr-CA"/>
        </w:rPr>
        <w:t xml:space="preserve">accroître son </w:t>
      </w:r>
      <w:r w:rsidRPr="009230C1">
        <w:rPr>
          <w:lang w:val="fr-CA"/>
        </w:rPr>
        <w:t xml:space="preserve">niveau </w:t>
      </w:r>
      <w:r w:rsidR="00D27330">
        <w:rPr>
          <w:lang w:val="fr-CA"/>
        </w:rPr>
        <w:t>résout-il</w:t>
      </w:r>
      <w:r w:rsidRPr="009230C1">
        <w:rPr>
          <w:lang w:val="fr-CA"/>
        </w:rPr>
        <w:t xml:space="preserve"> certaines difficultés?</w:t>
      </w:r>
    </w:p>
    <w:p w14:paraId="54C00CB8" w14:textId="77777777" w:rsidR="006C7FFE" w:rsidRPr="009230C1" w:rsidRDefault="006C7FFE" w:rsidP="009230C1">
      <w:pPr>
        <w:pStyle w:val="ListParagraph"/>
        <w:numPr>
          <w:ilvl w:val="0"/>
          <w:numId w:val="0"/>
        </w:numPr>
        <w:spacing w:after="240"/>
        <w:ind w:left="714"/>
        <w:rPr>
          <w:lang w:val="fr-CA"/>
        </w:rPr>
      </w:pPr>
    </w:p>
    <w:p w14:paraId="66B4CA54" w14:textId="233E315C" w:rsidR="00070660" w:rsidRPr="009230C1" w:rsidRDefault="008F6F37" w:rsidP="009230C1">
      <w:pPr>
        <w:pStyle w:val="ListParagraph"/>
        <w:numPr>
          <w:ilvl w:val="0"/>
          <w:numId w:val="9"/>
        </w:numPr>
        <w:spacing w:before="240" w:after="240"/>
        <w:ind w:left="714" w:hanging="357"/>
        <w:rPr>
          <w:lang w:val="fr-CA"/>
        </w:rPr>
      </w:pPr>
      <w:r w:rsidRPr="009230C1">
        <w:rPr>
          <w:lang w:val="fr-CA"/>
        </w:rPr>
        <w:t xml:space="preserve">Quels défis </w:t>
      </w:r>
      <w:r w:rsidR="00D27330">
        <w:rPr>
          <w:lang w:val="fr-CA"/>
        </w:rPr>
        <w:t xml:space="preserve">ont été </w:t>
      </w:r>
      <w:r w:rsidRPr="009230C1">
        <w:rPr>
          <w:lang w:val="fr-CA"/>
        </w:rPr>
        <w:t>cernés? Comment ces défis s’alignent avec les techniques de l’ITB-E qui sont beaucoup ou peu utilisées dans la classe? Est-ce que ces défis pourraient être mieux soutenus si vous ajustiez la fréquence d’utilisation de la technique?</w:t>
      </w:r>
    </w:p>
    <w:p w14:paraId="40C2F067" w14:textId="77777777" w:rsidR="009B5533" w:rsidRPr="009230C1" w:rsidRDefault="009B5533" w:rsidP="009230C1">
      <w:pPr>
        <w:pStyle w:val="ListParagraph"/>
        <w:numPr>
          <w:ilvl w:val="0"/>
          <w:numId w:val="0"/>
        </w:numPr>
        <w:spacing w:after="240"/>
        <w:ind w:left="714"/>
        <w:rPr>
          <w:lang w:val="fr-CA"/>
        </w:rPr>
      </w:pPr>
    </w:p>
    <w:p w14:paraId="118D6AE0" w14:textId="23F84ED8" w:rsidR="00070660" w:rsidRPr="009230C1" w:rsidRDefault="008F6F37" w:rsidP="009230C1">
      <w:pPr>
        <w:pStyle w:val="ListParagraph"/>
        <w:numPr>
          <w:ilvl w:val="0"/>
          <w:numId w:val="9"/>
        </w:numPr>
        <w:spacing w:after="240"/>
        <w:ind w:left="714" w:hanging="357"/>
        <w:rPr>
          <w:lang w:val="fr-CA"/>
        </w:rPr>
      </w:pPr>
      <w:r w:rsidRPr="009230C1">
        <w:rPr>
          <w:lang w:val="fr-CA"/>
        </w:rPr>
        <w:t xml:space="preserve">En réfléchissant à vos réponses aux deux premières questions, si vous avez déterminé que l’élève pourrait être mieux soutenu grâce à l’utilisation accrue de certaines techniques de base, élaborez un plan pour utiliser davantage trois techniques (maximum) pendant plusieurs semaines. Puisque le développement de nouvelles habitudes d’enseignement et la constatation de la façon dont les techniques générales soutiennent les élèves prennent du temps, il est important de ne pas mettre en œuvre trop de techniques à la fois. Pour </w:t>
      </w:r>
      <w:r w:rsidR="00D27330">
        <w:rPr>
          <w:lang w:val="fr-CA"/>
        </w:rPr>
        <w:t>obtenir des résultats positifs</w:t>
      </w:r>
      <w:r w:rsidRPr="009230C1">
        <w:rPr>
          <w:lang w:val="fr-CA"/>
        </w:rPr>
        <w:t>, les techniques doivent être utilisées de manière constante.</w:t>
      </w:r>
    </w:p>
    <w:p w14:paraId="7949C37A" w14:textId="77777777" w:rsidR="009B5533" w:rsidRPr="009230C1" w:rsidRDefault="009B5533" w:rsidP="009230C1">
      <w:pPr>
        <w:pStyle w:val="ListParagraph"/>
        <w:numPr>
          <w:ilvl w:val="0"/>
          <w:numId w:val="0"/>
        </w:numPr>
        <w:spacing w:after="240"/>
        <w:ind w:left="714"/>
        <w:rPr>
          <w:lang w:val="fr-CA"/>
        </w:rPr>
      </w:pPr>
    </w:p>
    <w:p w14:paraId="44D60308" w14:textId="0AE3CE33" w:rsidR="00070660" w:rsidRPr="005E2B22" w:rsidRDefault="008F6F37" w:rsidP="009230C1">
      <w:pPr>
        <w:pStyle w:val="ListParagraph"/>
        <w:numPr>
          <w:ilvl w:val="0"/>
          <w:numId w:val="9"/>
        </w:numPr>
        <w:spacing w:after="240"/>
        <w:ind w:left="714" w:hanging="357"/>
        <w:rPr>
          <w:lang w:val="fr-CA"/>
        </w:rPr>
      </w:pPr>
      <w:r w:rsidRPr="009230C1">
        <w:rPr>
          <w:lang w:val="fr-CA"/>
        </w:rPr>
        <w:t>Après quatre semaines (deux semaines pour le secondaire), si les difficultés de l’élève ne s’atténuent pas, passez à la phase 2 du protocole à moins qu’il ne soit clair que vous devez renforcer les techniques de base en classe. Si tel est le cas, faites un autre ITB-E et suivez les étapes décrites dans cet encadré ombragé.</w:t>
      </w:r>
      <w:bookmarkStart w:id="0" w:name="_GoBack"/>
      <w:bookmarkEnd w:id="0"/>
    </w:p>
    <w:sectPr w:rsidR="00070660" w:rsidRPr="005E2B22" w:rsidSect="005E2B22">
      <w:footerReference w:type="even" r:id="rId9"/>
      <w:footerReference w:type="default" r:id="rId10"/>
      <w:pgSz w:w="12240" w:h="15840"/>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94541" w14:textId="77777777" w:rsidR="007E1386" w:rsidRDefault="007E1386" w:rsidP="00964780">
      <w:r>
        <w:separator/>
      </w:r>
    </w:p>
    <w:p w14:paraId="3F0281A4" w14:textId="77777777" w:rsidR="007E1386" w:rsidRDefault="007E1386"/>
  </w:endnote>
  <w:endnote w:type="continuationSeparator" w:id="0">
    <w:p w14:paraId="155A3097" w14:textId="77777777" w:rsidR="007E1386" w:rsidRDefault="007E1386" w:rsidP="00964780">
      <w:r>
        <w:continuationSeparator/>
      </w:r>
    </w:p>
    <w:p w14:paraId="4006DCD5" w14:textId="77777777" w:rsidR="007E1386" w:rsidRDefault="007E1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C94F4" w14:textId="77777777" w:rsidR="007E1386" w:rsidRDefault="007E1386" w:rsidP="00964780">
      <w:r>
        <w:separator/>
      </w:r>
    </w:p>
    <w:p w14:paraId="0CCB2E2F" w14:textId="77777777" w:rsidR="007E1386" w:rsidRDefault="007E1386"/>
  </w:footnote>
  <w:footnote w:type="continuationSeparator" w:id="0">
    <w:p w14:paraId="3E5832E3" w14:textId="77777777" w:rsidR="007E1386" w:rsidRDefault="007E1386" w:rsidP="00964780">
      <w:r>
        <w:continuationSeparator/>
      </w:r>
    </w:p>
    <w:p w14:paraId="58A4FB31" w14:textId="77777777" w:rsidR="007E1386" w:rsidRDefault="007E13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E2B22"/>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1386"/>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1FB"/>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71A6-7ADB-4CB0-B53D-0D0FA36C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2017-12-04T21:12:00Z</dcterms:created>
  <dcterms:modified xsi:type="dcterms:W3CDTF">2017-12-04T21:14:00Z</dcterms:modified>
</cp:coreProperties>
</file>