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499E4" w14:textId="6FB7A0EC" w:rsidR="009F7461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0824D8">
        <w:rPr>
          <w:lang w:val="fr-CA"/>
        </w:rPr>
        <w:t>, pages 89</w:t>
      </w:r>
      <w:r w:rsidR="00065061" w:rsidRPr="009230C1">
        <w:rPr>
          <w:lang w:val="fr-CA"/>
        </w:rPr>
        <w:t xml:space="preserve"> à 91 du Point d’accès 3</w:t>
      </w:r>
    </w:p>
    <w:p w14:paraId="3560AB5A" w14:textId="77777777" w:rsidR="009F7461" w:rsidRPr="009230C1" w:rsidRDefault="006C6DDD" w:rsidP="00F432B5">
      <w:pPr>
        <w:pStyle w:val="Heading2"/>
        <w:spacing w:after="240"/>
        <w:rPr>
          <w:lang w:val="fr-CA"/>
        </w:rPr>
      </w:pPr>
      <w:r w:rsidRPr="009230C1">
        <w:rPr>
          <w:lang w:val="fr-CA"/>
        </w:rPr>
        <w:t>Aperçu des actions langagières universelles</w:t>
      </w:r>
    </w:p>
    <w:p w14:paraId="589A6845" w14:textId="77777777" w:rsidR="009F7461" w:rsidRPr="009230C1" w:rsidRDefault="006C6DDD" w:rsidP="009230C1">
      <w:pPr>
        <w:pStyle w:val="Heading3"/>
        <w:spacing w:before="360" w:after="60"/>
        <w:rPr>
          <w:rStyle w:val="Strong"/>
          <w:b/>
          <w:bCs w:val="0"/>
          <w:sz w:val="24"/>
          <w:lang w:val="fr-CA"/>
        </w:rPr>
      </w:pPr>
      <w:r w:rsidRPr="009230C1">
        <w:rPr>
          <w:lang w:val="fr-CA"/>
        </w:rPr>
        <w:t>Actions langagières universelles qui facilitent la compréhension orale et écrite des apprenants</w:t>
      </w:r>
    </w:p>
    <w:p w14:paraId="369F1155" w14:textId="74A93E6F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1.1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Utiliser des gestes, des expressions faciales, des images, des photos, des dessins, des objets et du matériel à manipuler</w:t>
      </w:r>
    </w:p>
    <w:p w14:paraId="0F68C3CC" w14:textId="77777777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1.2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Jouer avec l’expression et l’intonation de la voix, et contrôler le débit de la parole</w:t>
      </w:r>
    </w:p>
    <w:p w14:paraId="412C1B63" w14:textId="77777777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1.3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Adapter la complexité de la langue orale et écrite</w:t>
      </w:r>
    </w:p>
    <w:p w14:paraId="54237A3B" w14:textId="77777777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1.4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Évaluer l’étendue des connaissances antérieures et combler les lacunes majeures</w:t>
      </w:r>
    </w:p>
    <w:p w14:paraId="70151E65" w14:textId="77777777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1.5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Fournir un temps d’attente après la présentation de nouvelles informations, après avoir posé une question et avant d’inviter les apprenants à commencer une tâche</w:t>
      </w:r>
    </w:p>
    <w:p w14:paraId="753BF748" w14:textId="77777777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1.6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Répéter et reformuler le langage oral et écrit</w:t>
      </w:r>
    </w:p>
    <w:p w14:paraId="188A8942" w14:textId="77777777" w:rsidR="009F7461" w:rsidRPr="009230C1" w:rsidRDefault="00664D7C" w:rsidP="009230C1">
      <w:pPr>
        <w:pStyle w:val="ListParagraph"/>
        <w:numPr>
          <w:ilvl w:val="0"/>
          <w:numId w:val="13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1.7</w:t>
      </w:r>
      <w:r w:rsidRPr="009230C1">
        <w:rPr>
          <w:lang w:val="fr-CA"/>
        </w:rPr>
        <w:t xml:space="preserve"> </w:t>
      </w:r>
      <w:r w:rsidR="006C6DDD" w:rsidRPr="009230C1">
        <w:rPr>
          <w:lang w:val="fr-CA"/>
        </w:rPr>
        <w:t>Réutiliser et recycler le matériel pédagogique</w:t>
      </w:r>
    </w:p>
    <w:p w14:paraId="15C06572" w14:textId="77777777" w:rsidR="009F7461" w:rsidRPr="009230C1" w:rsidRDefault="006C6DDD" w:rsidP="009230C1">
      <w:pPr>
        <w:pStyle w:val="Heading3"/>
        <w:spacing w:before="240" w:after="60"/>
        <w:rPr>
          <w:rStyle w:val="Strong"/>
          <w:b/>
          <w:bCs w:val="0"/>
          <w:sz w:val="24"/>
          <w:lang w:val="fr-CA"/>
        </w:rPr>
      </w:pPr>
      <w:r w:rsidRPr="009230C1">
        <w:rPr>
          <w:lang w:val="fr-CA"/>
        </w:rPr>
        <w:t>Actions langagières universelles qui facilitent la production orale et écrite</w:t>
      </w:r>
    </w:p>
    <w:p w14:paraId="1100904C" w14:textId="77777777" w:rsidR="009F7461" w:rsidRPr="009230C1" w:rsidRDefault="00E26443" w:rsidP="009230C1">
      <w:pPr>
        <w:pStyle w:val="ListParagraph"/>
        <w:numPr>
          <w:ilvl w:val="0"/>
          <w:numId w:val="14"/>
        </w:numPr>
        <w:tabs>
          <w:tab w:val="left" w:pos="1276"/>
        </w:tabs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2.1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Fournir plusieurs modèles des tâches orales et écrites</w:t>
      </w:r>
    </w:p>
    <w:p w14:paraId="5DAC6AD4" w14:textId="77777777" w:rsidR="009F7461" w:rsidRPr="009230C1" w:rsidRDefault="00E26443" w:rsidP="009230C1">
      <w:pPr>
        <w:pStyle w:val="ListParagraph"/>
        <w:numPr>
          <w:ilvl w:val="0"/>
          <w:numId w:val="14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2.2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Utiliser des organisateurs graphiques pour soutenir la production orale et écrite</w:t>
      </w:r>
    </w:p>
    <w:p w14:paraId="3A8B4233" w14:textId="77777777" w:rsidR="009F7461" w:rsidRPr="009230C1" w:rsidRDefault="00E26443" w:rsidP="009230C1">
      <w:pPr>
        <w:pStyle w:val="ListParagraph"/>
        <w:numPr>
          <w:ilvl w:val="0"/>
          <w:numId w:val="14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2.3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Créer et afficher des appuis linguistiques dans la classe</w:t>
      </w:r>
    </w:p>
    <w:p w14:paraId="0B7769AF" w14:textId="77777777" w:rsidR="009F7461" w:rsidRPr="009230C1" w:rsidRDefault="00E26443" w:rsidP="009230C1">
      <w:pPr>
        <w:pStyle w:val="ListParagraph"/>
        <w:numPr>
          <w:ilvl w:val="0"/>
          <w:numId w:val="14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2.4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Offrir aux apprenants des stratégies de planification à utiliser avant de commencer une tâche</w:t>
      </w:r>
    </w:p>
    <w:p w14:paraId="7F1E192A" w14:textId="77777777" w:rsidR="009F7461" w:rsidRPr="009230C1" w:rsidRDefault="00E26443" w:rsidP="009230C1">
      <w:pPr>
        <w:pStyle w:val="ListParagraph"/>
        <w:numPr>
          <w:ilvl w:val="0"/>
          <w:numId w:val="14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2.5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Utiliser des routines pédagogiques et des routines favorisant la production orale et écrite</w:t>
      </w:r>
    </w:p>
    <w:p w14:paraId="40B8621C" w14:textId="77777777" w:rsidR="009F7461" w:rsidRPr="009230C1" w:rsidRDefault="00E26443" w:rsidP="009230C1">
      <w:pPr>
        <w:pStyle w:val="ListParagraph"/>
        <w:numPr>
          <w:ilvl w:val="0"/>
          <w:numId w:val="14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2.6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Former des regroupements d’élèves qui encouragent la communication entre pairs</w:t>
      </w:r>
    </w:p>
    <w:p w14:paraId="7C989DC4" w14:textId="77777777" w:rsidR="009F7461" w:rsidRPr="009230C1" w:rsidRDefault="00E26443" w:rsidP="009230C1">
      <w:pPr>
        <w:pStyle w:val="ListParagraph"/>
        <w:numPr>
          <w:ilvl w:val="0"/>
          <w:numId w:val="14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2.7</w:t>
      </w:r>
      <w:r w:rsidRPr="009230C1">
        <w:rPr>
          <w:lang w:val="fr-CA"/>
        </w:rPr>
        <w:t xml:space="preserve"> </w:t>
      </w:r>
      <w:r w:rsidR="00786AA4" w:rsidRPr="009230C1">
        <w:rPr>
          <w:lang w:val="fr-CA"/>
        </w:rPr>
        <w:t>Poser des questions ouvertes qui encouragent l’élaboration des idées</w:t>
      </w:r>
    </w:p>
    <w:p w14:paraId="05E960FE" w14:textId="77777777" w:rsidR="009F7461" w:rsidRPr="009230C1" w:rsidRDefault="00DF5647" w:rsidP="009230C1">
      <w:pPr>
        <w:pStyle w:val="Heading3"/>
        <w:spacing w:before="240" w:after="60"/>
        <w:rPr>
          <w:rStyle w:val="Strong"/>
          <w:bCs w:val="0"/>
          <w:sz w:val="24"/>
          <w:lang w:val="fr-CA"/>
        </w:rPr>
      </w:pPr>
      <w:r w:rsidRPr="009230C1">
        <w:rPr>
          <w:lang w:val="fr-CA"/>
        </w:rPr>
        <w:t>Actions langagières universelles qui aident les apprenants à maintenir leu</w:t>
      </w:r>
      <w:r w:rsidR="00065061" w:rsidRPr="009230C1">
        <w:rPr>
          <w:lang w:val="fr-CA"/>
        </w:rPr>
        <w:t>r attention dans la langue seconde</w:t>
      </w:r>
    </w:p>
    <w:p w14:paraId="653A9C41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3.1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Fournir des intentions d’écoute et de lecture précises</w:t>
      </w:r>
    </w:p>
    <w:p w14:paraId="14895B5B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3.2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Diviser les leçons, les activités et les tâches en plusieurs étapes</w:t>
      </w:r>
    </w:p>
    <w:p w14:paraId="7482818E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3.3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Intégrer des marqueurs de discours aux textes oraux et écrits</w:t>
      </w:r>
    </w:p>
    <w:p w14:paraId="4DB11A13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3.4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Fournir des signaux explicites pour rediriger l’attention des apprenants</w:t>
      </w:r>
    </w:p>
    <w:p w14:paraId="1E421D8D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3.5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Présenter le contenu de différentes façons</w:t>
      </w:r>
    </w:p>
    <w:p w14:paraId="69746B1C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lastRenderedPageBreak/>
        <w:t>Action 3.6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Expliquer la pertinence du contenu enseigné</w:t>
      </w:r>
    </w:p>
    <w:p w14:paraId="323DF68D" w14:textId="77777777" w:rsidR="009F7461" w:rsidRPr="009230C1" w:rsidRDefault="00E26443" w:rsidP="009230C1">
      <w:pPr>
        <w:pStyle w:val="ListParagraph"/>
        <w:numPr>
          <w:ilvl w:val="0"/>
          <w:numId w:val="15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3.7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Résumer les éléments essentiels des leçons, des activités et des passages de lecture</w:t>
      </w:r>
    </w:p>
    <w:p w14:paraId="0E284FD9" w14:textId="77777777" w:rsidR="009F7461" w:rsidRPr="009230C1" w:rsidRDefault="00DF5647" w:rsidP="009230C1">
      <w:pPr>
        <w:pStyle w:val="Heading3"/>
        <w:spacing w:after="60"/>
        <w:rPr>
          <w:rStyle w:val="Strong"/>
          <w:bCs w:val="0"/>
          <w:sz w:val="24"/>
          <w:lang w:val="fr-CA"/>
        </w:rPr>
      </w:pPr>
      <w:r w:rsidRPr="009230C1">
        <w:rPr>
          <w:lang w:val="fr-CA"/>
        </w:rPr>
        <w:t>Actions langagières universelles qui facilitent l’acquisition et l’enrichissement du vocabulaire</w:t>
      </w:r>
    </w:p>
    <w:p w14:paraId="3B8BFC64" w14:textId="77777777" w:rsidR="009F7461" w:rsidRPr="009230C1" w:rsidRDefault="00E26443" w:rsidP="009230C1">
      <w:pPr>
        <w:pStyle w:val="ListParagraph"/>
        <w:numPr>
          <w:ilvl w:val="0"/>
          <w:numId w:val="16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4.1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Déterminer le vocabulaire</w:t>
      </w:r>
      <w:r w:rsidR="00065061" w:rsidRPr="009230C1">
        <w:rPr>
          <w:lang w:val="fr-CA"/>
        </w:rPr>
        <w:t xml:space="preserve"> requis pour une leçon ou une </w:t>
      </w:r>
      <w:r w:rsidR="00DF5647" w:rsidRPr="009230C1">
        <w:rPr>
          <w:lang w:val="fr-CA"/>
        </w:rPr>
        <w:t>activité et le présenter au début de la leçon</w:t>
      </w:r>
      <w:r w:rsidR="00065061" w:rsidRPr="009230C1">
        <w:rPr>
          <w:lang w:val="fr-CA"/>
        </w:rPr>
        <w:t xml:space="preserve"> ou de l’activité</w:t>
      </w:r>
    </w:p>
    <w:p w14:paraId="045E69E4" w14:textId="77777777" w:rsidR="009F7461" w:rsidRPr="009230C1" w:rsidRDefault="00E26443" w:rsidP="009230C1">
      <w:pPr>
        <w:pStyle w:val="ListParagraph"/>
        <w:numPr>
          <w:ilvl w:val="0"/>
          <w:numId w:val="16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4.2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 xml:space="preserve">Utiliser des murs de mots et des </w:t>
      </w:r>
      <w:r w:rsidR="00065061" w:rsidRPr="009230C1">
        <w:rPr>
          <w:lang w:val="fr-CA"/>
        </w:rPr>
        <w:t>cartes</w:t>
      </w:r>
      <w:r w:rsidR="00DF5647" w:rsidRPr="009230C1">
        <w:rPr>
          <w:lang w:val="fr-CA"/>
        </w:rPr>
        <w:t xml:space="preserve"> sémantiques</w:t>
      </w:r>
    </w:p>
    <w:p w14:paraId="3510EFF9" w14:textId="77777777" w:rsidR="009F7461" w:rsidRPr="009230C1" w:rsidRDefault="00E26443" w:rsidP="00CA5E35">
      <w:pPr>
        <w:pStyle w:val="ListParagraph"/>
        <w:numPr>
          <w:ilvl w:val="0"/>
          <w:numId w:val="16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4.3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Faire appel aux sens pour faciliter l’acquisition du vocabulaire</w:t>
      </w:r>
    </w:p>
    <w:p w14:paraId="65D2FA5F" w14:textId="77777777" w:rsidR="009F7461" w:rsidRDefault="00E26443" w:rsidP="00CA5E35">
      <w:pPr>
        <w:pStyle w:val="ListParagraph"/>
        <w:numPr>
          <w:ilvl w:val="0"/>
          <w:numId w:val="16"/>
        </w:numPr>
        <w:ind w:left="425" w:hanging="425"/>
        <w:contextualSpacing w:val="0"/>
        <w:rPr>
          <w:lang w:val="fr-CA"/>
        </w:rPr>
      </w:pPr>
      <w:r w:rsidRPr="009230C1">
        <w:rPr>
          <w:rStyle w:val="Strong"/>
          <w:lang w:val="fr-CA"/>
        </w:rPr>
        <w:t>Action 4.4</w:t>
      </w:r>
      <w:r w:rsidRPr="009230C1">
        <w:rPr>
          <w:lang w:val="fr-CA"/>
        </w:rPr>
        <w:t xml:space="preserve"> </w:t>
      </w:r>
      <w:r w:rsidR="00DF5647" w:rsidRPr="009230C1">
        <w:rPr>
          <w:lang w:val="fr-CA"/>
        </w:rPr>
        <w:t>Utiliser des jeux de rôle et d’autres activités ludiques pour présenter ou renforcer le nouveau vocabulaire</w:t>
      </w:r>
    </w:p>
    <w:p w14:paraId="6EE25786" w14:textId="6B653A7A" w:rsidR="006354B4" w:rsidRPr="00CA5E35" w:rsidRDefault="00E26443" w:rsidP="00CA5E35">
      <w:pPr>
        <w:pStyle w:val="ListParagraph"/>
        <w:numPr>
          <w:ilvl w:val="0"/>
          <w:numId w:val="16"/>
        </w:numPr>
        <w:ind w:left="425" w:hanging="425"/>
        <w:contextualSpacing w:val="0"/>
        <w:rPr>
          <w:lang w:val="fr-CA"/>
        </w:rPr>
      </w:pPr>
      <w:r w:rsidRPr="00CA5E35">
        <w:rPr>
          <w:rStyle w:val="Strong"/>
          <w:lang w:val="fr-CA"/>
        </w:rPr>
        <w:t>Action 4.5</w:t>
      </w:r>
      <w:r w:rsidRPr="00CA5E35">
        <w:rPr>
          <w:lang w:val="fr-CA"/>
        </w:rPr>
        <w:t xml:space="preserve"> </w:t>
      </w:r>
      <w:r w:rsidR="00DF5647" w:rsidRPr="00CA5E35">
        <w:rPr>
          <w:lang w:val="fr-CA"/>
        </w:rPr>
        <w:t xml:space="preserve">Expliquer le </w:t>
      </w:r>
      <w:r w:rsidR="00DF5647" w:rsidRPr="00CA5E35">
        <w:rPr>
          <w:lang w:val="fr-FR"/>
        </w:rPr>
        <w:t>vocabulaire</w:t>
      </w:r>
      <w:r w:rsidR="00DF5647" w:rsidRPr="00CA5E35">
        <w:rPr>
          <w:lang w:val="fr-CA"/>
        </w:rPr>
        <w:t xml:space="preserve"> en fournissant des exemples d’utilisation, des synonymes, des antonymes, des mots-ami</w:t>
      </w:r>
      <w:bookmarkStart w:id="0" w:name="_GoBack"/>
      <w:bookmarkEnd w:id="0"/>
      <w:r w:rsidR="00DF5647" w:rsidRPr="00CA5E35">
        <w:rPr>
          <w:lang w:val="fr-CA"/>
        </w:rPr>
        <w:t>s et des définitions enseignant/apprenants</w:t>
      </w:r>
    </w:p>
    <w:sectPr w:rsidR="006354B4" w:rsidRPr="00CA5E35" w:rsidSect="00F432B5">
      <w:footerReference w:type="even" r:id="rId9"/>
      <w:footerReference w:type="default" r:id="rId10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DD2C" w14:textId="77777777" w:rsidR="00AA4211" w:rsidRDefault="00AA4211" w:rsidP="00964780">
      <w:r>
        <w:separator/>
      </w:r>
    </w:p>
    <w:p w14:paraId="72B29B5A" w14:textId="77777777" w:rsidR="00AA4211" w:rsidRDefault="00AA4211"/>
  </w:endnote>
  <w:endnote w:type="continuationSeparator" w:id="0">
    <w:p w14:paraId="6EFE4976" w14:textId="77777777" w:rsidR="00AA4211" w:rsidRDefault="00AA4211" w:rsidP="00964780">
      <w:r>
        <w:continuationSeparator/>
      </w:r>
    </w:p>
    <w:p w14:paraId="2C552490" w14:textId="77777777" w:rsidR="00AA4211" w:rsidRDefault="00AA4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16" name="Picture 16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3AC6B" w14:textId="77777777" w:rsidR="00AA4211" w:rsidRDefault="00AA4211" w:rsidP="00964780">
      <w:r>
        <w:separator/>
      </w:r>
    </w:p>
    <w:p w14:paraId="710A5890" w14:textId="77777777" w:rsidR="00AA4211" w:rsidRDefault="00AA4211"/>
  </w:footnote>
  <w:footnote w:type="continuationSeparator" w:id="0">
    <w:p w14:paraId="24215CBD" w14:textId="77777777" w:rsidR="00AA4211" w:rsidRDefault="00AA4211" w:rsidP="00964780">
      <w:r>
        <w:continuationSeparator/>
      </w:r>
    </w:p>
    <w:p w14:paraId="2EEF9488" w14:textId="77777777" w:rsidR="00AA4211" w:rsidRDefault="00AA4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24D8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2DCF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211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0F14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5E35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355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32B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EC86-B3C1-4693-A8B4-458BD60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Titre</vt:lpstr>
      </vt:variant>
      <vt:variant>
        <vt:i4>1</vt:i4>
      </vt:variant>
    </vt:vector>
  </HeadingPairs>
  <TitlesOfParts>
    <vt:vector size="8" baseType="lpstr">
      <vt:lpstr/>
      <vt:lpstr>Accès au succès, pages 89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5</cp:revision>
  <cp:lastPrinted>2017-07-07T17:55:00Z</cp:lastPrinted>
  <dcterms:created xsi:type="dcterms:W3CDTF">2017-12-04T19:35:00Z</dcterms:created>
  <dcterms:modified xsi:type="dcterms:W3CDTF">2017-12-04T21:48:00Z</dcterms:modified>
</cp:coreProperties>
</file>